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CBCF2" w14:textId="1AD22A25" w:rsidR="003A10D6" w:rsidRDefault="00050E3E" w:rsidP="00050E3E">
      <w:pPr>
        <w:jc w:val="center"/>
        <w:rPr>
          <w:rFonts w:ascii="Arial" w:hAnsi="Arial" w:cs="Arial"/>
          <w:b/>
          <w:bCs/>
          <w:sz w:val="36"/>
          <w:szCs w:val="36"/>
          <w:u w:val="single"/>
        </w:rPr>
      </w:pPr>
      <w:r w:rsidRPr="00050E3E">
        <w:rPr>
          <w:rFonts w:ascii="Arial" w:hAnsi="Arial" w:cs="Arial"/>
          <w:b/>
          <w:bCs/>
          <w:sz w:val="36"/>
          <w:szCs w:val="36"/>
          <w:u w:val="single"/>
        </w:rPr>
        <w:t>CEMETERY CHARGES  FOR WINKLEIGH</w:t>
      </w:r>
    </w:p>
    <w:p w14:paraId="65E7A052" w14:textId="341AC431" w:rsidR="00050E3E" w:rsidRDefault="00050E3E" w:rsidP="00A11AEE">
      <w:pPr>
        <w:jc w:val="center"/>
        <w:rPr>
          <w:rFonts w:ascii="Arial" w:hAnsi="Arial" w:cs="Arial"/>
          <w:b/>
          <w:bCs/>
          <w:sz w:val="36"/>
          <w:szCs w:val="36"/>
          <w:u w:val="single"/>
        </w:rPr>
      </w:pPr>
      <w:r>
        <w:rPr>
          <w:rFonts w:ascii="Arial" w:hAnsi="Arial" w:cs="Arial"/>
          <w:b/>
          <w:bCs/>
          <w:sz w:val="36"/>
          <w:szCs w:val="36"/>
          <w:u w:val="single"/>
        </w:rPr>
        <w:t>2026-2027</w:t>
      </w:r>
    </w:p>
    <w:p w14:paraId="59C3A760" w14:textId="77777777" w:rsidR="00A11AEE" w:rsidRDefault="00A11AEE" w:rsidP="00A11AEE">
      <w:pPr>
        <w:jc w:val="center"/>
        <w:rPr>
          <w:rFonts w:ascii="Arial" w:hAnsi="Arial" w:cs="Arial"/>
          <w:b/>
          <w:bCs/>
          <w:sz w:val="36"/>
          <w:szCs w:val="36"/>
          <w:u w:val="single"/>
        </w:rPr>
      </w:pPr>
    </w:p>
    <w:p w14:paraId="072F8282" w14:textId="67A6353A" w:rsidR="00050E3E" w:rsidRPr="00DA6815" w:rsidRDefault="00A11AEE" w:rsidP="00DA6815">
      <w:pPr>
        <w:rPr>
          <w:rFonts w:ascii="Arial" w:hAnsi="Arial" w:cs="Arial"/>
          <w:sz w:val="28"/>
          <w:szCs w:val="28"/>
        </w:rPr>
      </w:pPr>
      <w:r w:rsidRPr="00DA6815">
        <w:rPr>
          <w:rFonts w:ascii="Arial" w:hAnsi="Arial" w:cs="Arial"/>
          <w:sz w:val="28"/>
          <w:szCs w:val="28"/>
        </w:rPr>
        <w:t xml:space="preserve">                 </w:t>
      </w:r>
      <w:r w:rsidR="00050E3E" w:rsidRPr="00DA6815">
        <w:rPr>
          <w:rFonts w:ascii="Arial" w:hAnsi="Arial" w:cs="Arial"/>
          <w:sz w:val="28"/>
          <w:szCs w:val="28"/>
        </w:rPr>
        <w:t>To purchase a single depth plot                    £250.00</w:t>
      </w:r>
    </w:p>
    <w:p w14:paraId="30602B55" w14:textId="6E54DBB7" w:rsidR="00050E3E" w:rsidRPr="00DA6815" w:rsidRDefault="00A11AEE" w:rsidP="00DA6815">
      <w:pPr>
        <w:tabs>
          <w:tab w:val="left" w:pos="4678"/>
        </w:tabs>
        <w:rPr>
          <w:rFonts w:ascii="Arial" w:hAnsi="Arial" w:cs="Arial"/>
          <w:sz w:val="28"/>
          <w:szCs w:val="28"/>
        </w:rPr>
      </w:pPr>
      <w:r w:rsidRPr="00DA6815">
        <w:rPr>
          <w:rFonts w:ascii="Arial" w:hAnsi="Arial" w:cs="Arial"/>
          <w:sz w:val="28"/>
          <w:szCs w:val="28"/>
        </w:rPr>
        <w:t xml:space="preserve">                </w:t>
      </w:r>
      <w:r w:rsidR="00050E3E" w:rsidRPr="00DA6815">
        <w:rPr>
          <w:rFonts w:ascii="Arial" w:hAnsi="Arial" w:cs="Arial"/>
          <w:sz w:val="28"/>
          <w:szCs w:val="28"/>
        </w:rPr>
        <w:t xml:space="preserve"> To purchase a double depth plot                   £375.00</w:t>
      </w:r>
    </w:p>
    <w:p w14:paraId="376E1CB3" w14:textId="12191779"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 xml:space="preserve">To purchase an </w:t>
      </w:r>
      <w:proofErr w:type="gramStart"/>
      <w:r w:rsidRPr="00DA6815">
        <w:rPr>
          <w:rFonts w:ascii="Arial" w:hAnsi="Arial" w:cs="Arial"/>
          <w:sz w:val="28"/>
          <w:szCs w:val="28"/>
        </w:rPr>
        <w:t>ashes</w:t>
      </w:r>
      <w:proofErr w:type="gramEnd"/>
      <w:r w:rsidRPr="00DA6815">
        <w:rPr>
          <w:rFonts w:ascii="Arial" w:hAnsi="Arial" w:cs="Arial"/>
          <w:sz w:val="28"/>
          <w:szCs w:val="28"/>
        </w:rPr>
        <w:t xml:space="preserve"> plot                           £140.00</w:t>
      </w:r>
    </w:p>
    <w:p w14:paraId="67EBF496" w14:textId="0A81D966"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 xml:space="preserve"> To erect a headstone                                    £160.00</w:t>
      </w:r>
    </w:p>
    <w:p w14:paraId="7C4411EE" w14:textId="0D6A3A33"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 xml:space="preserve">   Interment fee                                                </w:t>
      </w:r>
      <w:r w:rsidR="00DA6815" w:rsidRPr="00DA6815">
        <w:rPr>
          <w:rFonts w:ascii="Arial" w:hAnsi="Arial" w:cs="Arial"/>
          <w:sz w:val="28"/>
          <w:szCs w:val="28"/>
        </w:rPr>
        <w:t xml:space="preserve"> </w:t>
      </w:r>
      <w:r w:rsidRPr="00DA6815">
        <w:rPr>
          <w:rFonts w:ascii="Arial" w:hAnsi="Arial" w:cs="Arial"/>
          <w:sz w:val="28"/>
          <w:szCs w:val="28"/>
        </w:rPr>
        <w:t>£465.00</w:t>
      </w:r>
    </w:p>
    <w:p w14:paraId="7539DEA2" w14:textId="5F9D30D9"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 xml:space="preserve">  Interment of ashes                                         £100.00</w:t>
      </w:r>
    </w:p>
    <w:p w14:paraId="5307A2D5" w14:textId="689F222E"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To erect  an ashes memorial                          £120.00</w:t>
      </w:r>
    </w:p>
    <w:p w14:paraId="4FD048CB" w14:textId="3F533672"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 xml:space="preserve">   Additional inscription on </w:t>
      </w:r>
      <w:r w:rsidR="00DA6815" w:rsidRPr="00DA6815">
        <w:rPr>
          <w:rFonts w:ascii="Arial" w:hAnsi="Arial" w:cs="Arial"/>
          <w:sz w:val="28"/>
          <w:szCs w:val="28"/>
        </w:rPr>
        <w:t>an</w:t>
      </w:r>
    </w:p>
    <w:p w14:paraId="17D161F9" w14:textId="579848CD" w:rsidR="00050E3E" w:rsidRPr="00DA6815" w:rsidRDefault="00050E3E" w:rsidP="00050E3E">
      <w:pPr>
        <w:tabs>
          <w:tab w:val="left" w:pos="4678"/>
        </w:tabs>
        <w:rPr>
          <w:rFonts w:ascii="Arial" w:hAnsi="Arial" w:cs="Arial"/>
          <w:sz w:val="28"/>
          <w:szCs w:val="28"/>
        </w:rPr>
      </w:pPr>
      <w:r w:rsidRPr="00DA6815">
        <w:rPr>
          <w:rFonts w:ascii="Arial" w:hAnsi="Arial" w:cs="Arial"/>
          <w:sz w:val="28"/>
          <w:szCs w:val="28"/>
        </w:rPr>
        <w:t xml:space="preserve">              </w:t>
      </w:r>
      <w:r w:rsidR="00DA6815" w:rsidRPr="00DA6815">
        <w:rPr>
          <w:rFonts w:ascii="Arial" w:hAnsi="Arial" w:cs="Arial"/>
          <w:sz w:val="28"/>
          <w:szCs w:val="28"/>
        </w:rPr>
        <w:t xml:space="preserve">  </w:t>
      </w:r>
      <w:r w:rsidRPr="00DA6815">
        <w:rPr>
          <w:rFonts w:ascii="Arial" w:hAnsi="Arial" w:cs="Arial"/>
          <w:sz w:val="28"/>
          <w:szCs w:val="28"/>
        </w:rPr>
        <w:t xml:space="preserve"> </w:t>
      </w:r>
      <w:r w:rsidR="00DA6815" w:rsidRPr="00DA6815">
        <w:rPr>
          <w:rFonts w:ascii="Arial" w:hAnsi="Arial" w:cs="Arial"/>
          <w:sz w:val="28"/>
          <w:szCs w:val="28"/>
        </w:rPr>
        <w:t>e</w:t>
      </w:r>
      <w:r w:rsidRPr="00DA6815">
        <w:rPr>
          <w:rFonts w:ascii="Arial" w:hAnsi="Arial" w:cs="Arial"/>
          <w:sz w:val="28"/>
          <w:szCs w:val="28"/>
        </w:rPr>
        <w:t>xisting  memorial                                             £37.50</w:t>
      </w:r>
    </w:p>
    <w:p w14:paraId="3F36A720" w14:textId="7BB7ECC7" w:rsidR="00050E3E" w:rsidRPr="00A11AEE" w:rsidRDefault="00050E3E" w:rsidP="00050E3E">
      <w:pPr>
        <w:tabs>
          <w:tab w:val="left" w:pos="4678"/>
        </w:tabs>
        <w:rPr>
          <w:rFonts w:ascii="Arial" w:hAnsi="Arial" w:cs="Arial"/>
          <w:sz w:val="24"/>
          <w:szCs w:val="24"/>
        </w:rPr>
      </w:pPr>
      <w:r w:rsidRPr="00A11AEE">
        <w:rPr>
          <w:rFonts w:ascii="Arial" w:hAnsi="Arial" w:cs="Arial"/>
          <w:sz w:val="24"/>
          <w:szCs w:val="24"/>
        </w:rPr>
        <w:t xml:space="preserve">    </w:t>
      </w:r>
    </w:p>
    <w:p w14:paraId="07AD82C6" w14:textId="77777777" w:rsidR="00DA6815" w:rsidRDefault="00A11AEE" w:rsidP="00DA6815">
      <w:pPr>
        <w:tabs>
          <w:tab w:val="left" w:pos="4678"/>
        </w:tabs>
        <w:ind w:left="720"/>
        <w:rPr>
          <w:rFonts w:ascii="Arial" w:hAnsi="Arial" w:cs="Arial"/>
          <w:sz w:val="24"/>
          <w:szCs w:val="24"/>
        </w:rPr>
      </w:pPr>
      <w:r>
        <w:rPr>
          <w:rFonts w:ascii="Arial" w:hAnsi="Arial" w:cs="Arial"/>
          <w:sz w:val="24"/>
          <w:szCs w:val="24"/>
        </w:rPr>
        <w:t>The fees indicated above are for all Winkleigh Parishioners.</w:t>
      </w:r>
      <w:r w:rsidR="00DA6815">
        <w:rPr>
          <w:rFonts w:ascii="Arial" w:hAnsi="Arial" w:cs="Arial"/>
          <w:sz w:val="24"/>
          <w:szCs w:val="24"/>
        </w:rPr>
        <w:t xml:space="preserve"> </w:t>
      </w:r>
      <w:r>
        <w:rPr>
          <w:rFonts w:ascii="Arial" w:hAnsi="Arial" w:cs="Arial"/>
          <w:sz w:val="24"/>
          <w:szCs w:val="24"/>
        </w:rPr>
        <w:t xml:space="preserve"> Residents</w:t>
      </w:r>
      <w:r w:rsidR="00DA6815">
        <w:rPr>
          <w:rFonts w:ascii="Arial" w:hAnsi="Arial" w:cs="Arial"/>
          <w:sz w:val="24"/>
          <w:szCs w:val="24"/>
        </w:rPr>
        <w:t xml:space="preserve"> </w:t>
      </w:r>
      <w:r>
        <w:rPr>
          <w:rFonts w:ascii="Arial" w:hAnsi="Arial" w:cs="Arial"/>
          <w:sz w:val="24"/>
          <w:szCs w:val="24"/>
        </w:rPr>
        <w:t>of Winkleigh at the time of death are allowed to be buried in  Winkleigh Cemetery.</w:t>
      </w:r>
    </w:p>
    <w:p w14:paraId="25070D1C" w14:textId="47F7C781" w:rsidR="00A11AEE" w:rsidRDefault="00A11AEE" w:rsidP="00DA6815">
      <w:pPr>
        <w:tabs>
          <w:tab w:val="left" w:pos="4678"/>
        </w:tabs>
        <w:ind w:left="720"/>
        <w:rPr>
          <w:rFonts w:ascii="Arial" w:hAnsi="Arial" w:cs="Arial"/>
          <w:sz w:val="24"/>
          <w:szCs w:val="24"/>
        </w:rPr>
      </w:pPr>
      <w:r>
        <w:rPr>
          <w:rFonts w:ascii="Arial" w:hAnsi="Arial" w:cs="Arial"/>
          <w:sz w:val="24"/>
          <w:szCs w:val="24"/>
        </w:rPr>
        <w:t xml:space="preserve"> If a resident </w:t>
      </w:r>
      <w:proofErr w:type="gramStart"/>
      <w:r>
        <w:rPr>
          <w:rFonts w:ascii="Arial" w:hAnsi="Arial" w:cs="Arial"/>
          <w:sz w:val="24"/>
          <w:szCs w:val="24"/>
        </w:rPr>
        <w:t>has to</w:t>
      </w:r>
      <w:proofErr w:type="gramEnd"/>
      <w:r>
        <w:rPr>
          <w:rFonts w:ascii="Arial" w:hAnsi="Arial" w:cs="Arial"/>
          <w:sz w:val="24"/>
          <w:szCs w:val="24"/>
        </w:rPr>
        <w:t xml:space="preserve"> move away from the Parish due to ill health and/or into a nursing home outside of the </w:t>
      </w:r>
      <w:proofErr w:type="gramStart"/>
      <w:r>
        <w:rPr>
          <w:rFonts w:ascii="Arial" w:hAnsi="Arial" w:cs="Arial"/>
          <w:sz w:val="24"/>
          <w:szCs w:val="24"/>
        </w:rPr>
        <w:t>Parish</w:t>
      </w:r>
      <w:proofErr w:type="gramEnd"/>
      <w:r>
        <w:rPr>
          <w:rFonts w:ascii="Arial" w:hAnsi="Arial" w:cs="Arial"/>
          <w:sz w:val="24"/>
          <w:szCs w:val="24"/>
        </w:rPr>
        <w:t xml:space="preserve"> the Council will agree to allow their interment at the standard charge. The Council reserves the right to request proof of prior residency.</w:t>
      </w:r>
    </w:p>
    <w:p w14:paraId="60770BF8" w14:textId="6FC13EB7" w:rsidR="00DA6815" w:rsidRDefault="00DA6815" w:rsidP="00DA6815">
      <w:pPr>
        <w:tabs>
          <w:tab w:val="left" w:pos="4678"/>
        </w:tabs>
        <w:ind w:left="720"/>
        <w:rPr>
          <w:rFonts w:ascii="Arial" w:hAnsi="Arial" w:cs="Arial"/>
          <w:sz w:val="24"/>
          <w:szCs w:val="24"/>
        </w:rPr>
      </w:pPr>
      <w:r>
        <w:rPr>
          <w:rFonts w:ascii="Arial" w:hAnsi="Arial" w:cs="Arial"/>
          <w:sz w:val="24"/>
          <w:szCs w:val="24"/>
        </w:rPr>
        <w:t>Non – residents are permitted but double fees will apply.</w:t>
      </w:r>
    </w:p>
    <w:p w14:paraId="1F9B2C28" w14:textId="4E139ADD" w:rsidR="00DA6815" w:rsidRDefault="00DA6815" w:rsidP="00DA6815">
      <w:pPr>
        <w:tabs>
          <w:tab w:val="left" w:pos="4678"/>
        </w:tabs>
        <w:ind w:left="720"/>
        <w:rPr>
          <w:rFonts w:ascii="Arial" w:hAnsi="Arial" w:cs="Arial"/>
          <w:sz w:val="24"/>
          <w:szCs w:val="24"/>
        </w:rPr>
      </w:pPr>
      <w:r>
        <w:rPr>
          <w:rFonts w:ascii="Arial" w:hAnsi="Arial" w:cs="Arial"/>
          <w:sz w:val="24"/>
          <w:szCs w:val="24"/>
        </w:rPr>
        <w:t>All fees are to be settled within 14 days of application. Payment of any fee is taken as acceptance to abide by all current and future cemetery rules, terms and conditions.</w:t>
      </w:r>
    </w:p>
    <w:p w14:paraId="7B318DB5" w14:textId="77CD461C" w:rsidR="00DA6815" w:rsidRDefault="00DA6815" w:rsidP="00DA6815">
      <w:pPr>
        <w:tabs>
          <w:tab w:val="left" w:pos="4678"/>
        </w:tabs>
        <w:ind w:left="720"/>
        <w:rPr>
          <w:rFonts w:ascii="Arial" w:hAnsi="Arial" w:cs="Arial"/>
          <w:sz w:val="24"/>
          <w:szCs w:val="24"/>
        </w:rPr>
      </w:pPr>
      <w:r>
        <w:rPr>
          <w:rFonts w:ascii="Arial" w:hAnsi="Arial" w:cs="Arial"/>
          <w:sz w:val="24"/>
          <w:szCs w:val="24"/>
        </w:rPr>
        <w:t xml:space="preserve">There will be no fees for children of </w:t>
      </w:r>
      <w:proofErr w:type="spellStart"/>
      <w:r>
        <w:rPr>
          <w:rFonts w:ascii="Arial" w:hAnsi="Arial" w:cs="Arial"/>
          <w:sz w:val="24"/>
          <w:szCs w:val="24"/>
        </w:rPr>
        <w:t>Winlkleigh</w:t>
      </w:r>
      <w:proofErr w:type="spellEnd"/>
      <w:r>
        <w:rPr>
          <w:rFonts w:ascii="Arial" w:hAnsi="Arial" w:cs="Arial"/>
          <w:sz w:val="24"/>
          <w:szCs w:val="24"/>
        </w:rPr>
        <w:t xml:space="preserve"> Parish aged 16 years and under.</w:t>
      </w:r>
    </w:p>
    <w:p w14:paraId="53BA5EF8" w14:textId="74217F42" w:rsidR="00DA6815" w:rsidRDefault="00DA6815" w:rsidP="00DA6815">
      <w:pPr>
        <w:tabs>
          <w:tab w:val="left" w:pos="4678"/>
        </w:tabs>
        <w:ind w:left="720"/>
        <w:rPr>
          <w:rFonts w:ascii="Arial" w:hAnsi="Arial" w:cs="Arial"/>
          <w:sz w:val="24"/>
          <w:szCs w:val="24"/>
        </w:rPr>
      </w:pPr>
      <w:r>
        <w:rPr>
          <w:rFonts w:ascii="Arial" w:hAnsi="Arial" w:cs="Arial"/>
          <w:sz w:val="24"/>
          <w:szCs w:val="24"/>
        </w:rPr>
        <w:t>Community Centre, Castle Street, Winkleigh, EX19 8HU</w:t>
      </w:r>
    </w:p>
    <w:p w14:paraId="19BBF73F" w14:textId="283884C2" w:rsidR="007B2D7A" w:rsidRDefault="007B2D7A" w:rsidP="00DA6815">
      <w:pPr>
        <w:tabs>
          <w:tab w:val="left" w:pos="4678"/>
        </w:tabs>
        <w:ind w:left="720"/>
        <w:rPr>
          <w:rFonts w:ascii="Arial" w:hAnsi="Arial" w:cs="Arial"/>
          <w:sz w:val="24"/>
          <w:szCs w:val="24"/>
        </w:rPr>
      </w:pPr>
      <w:r>
        <w:rPr>
          <w:rFonts w:ascii="Arial" w:hAnsi="Arial" w:cs="Arial"/>
          <w:sz w:val="24"/>
          <w:szCs w:val="24"/>
        </w:rPr>
        <w:t>clerk@winkleigh-pc.gov.uk</w:t>
      </w:r>
    </w:p>
    <w:p w14:paraId="12F9E8E3" w14:textId="77777777" w:rsidR="00A11AEE" w:rsidRDefault="00A11AEE" w:rsidP="00A11AEE">
      <w:pPr>
        <w:tabs>
          <w:tab w:val="left" w:pos="4678"/>
        </w:tabs>
        <w:rPr>
          <w:rFonts w:ascii="Arial" w:hAnsi="Arial" w:cs="Arial"/>
          <w:sz w:val="24"/>
          <w:szCs w:val="24"/>
        </w:rPr>
      </w:pPr>
    </w:p>
    <w:p w14:paraId="696DCB3D" w14:textId="77777777" w:rsidR="00A11AEE" w:rsidRPr="00A11AEE" w:rsidRDefault="00A11AEE" w:rsidP="00A11AEE">
      <w:pPr>
        <w:tabs>
          <w:tab w:val="left" w:pos="4678"/>
        </w:tabs>
        <w:rPr>
          <w:rFonts w:ascii="Arial" w:hAnsi="Arial" w:cs="Arial"/>
          <w:sz w:val="24"/>
          <w:szCs w:val="24"/>
        </w:rPr>
      </w:pPr>
    </w:p>
    <w:sectPr w:rsidR="00A11AEE" w:rsidRPr="00A11A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3E"/>
    <w:rsid w:val="00050E3E"/>
    <w:rsid w:val="001C358F"/>
    <w:rsid w:val="003A10D6"/>
    <w:rsid w:val="003D6F66"/>
    <w:rsid w:val="0057085B"/>
    <w:rsid w:val="006D58E0"/>
    <w:rsid w:val="007B2D7A"/>
    <w:rsid w:val="009C1586"/>
    <w:rsid w:val="00A11AEE"/>
    <w:rsid w:val="00AD2946"/>
    <w:rsid w:val="00DA6815"/>
    <w:rsid w:val="00FC1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81ED"/>
  <w15:chartTrackingRefBased/>
  <w15:docId w15:val="{E4388CB4-BFAF-43A2-89A1-8C609937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0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0E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0E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0E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0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0E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0E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0E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0E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0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E3E"/>
    <w:rPr>
      <w:rFonts w:eastAsiaTheme="majorEastAsia" w:cstheme="majorBidi"/>
      <w:color w:val="272727" w:themeColor="text1" w:themeTint="D8"/>
    </w:rPr>
  </w:style>
  <w:style w:type="paragraph" w:styleId="Title">
    <w:name w:val="Title"/>
    <w:basedOn w:val="Normal"/>
    <w:next w:val="Normal"/>
    <w:link w:val="TitleChar"/>
    <w:uiPriority w:val="10"/>
    <w:qFormat/>
    <w:rsid w:val="00050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E3E"/>
    <w:pPr>
      <w:spacing w:before="160"/>
      <w:jc w:val="center"/>
    </w:pPr>
    <w:rPr>
      <w:i/>
      <w:iCs/>
      <w:color w:val="404040" w:themeColor="text1" w:themeTint="BF"/>
    </w:rPr>
  </w:style>
  <w:style w:type="character" w:customStyle="1" w:styleId="QuoteChar">
    <w:name w:val="Quote Char"/>
    <w:basedOn w:val="DefaultParagraphFont"/>
    <w:link w:val="Quote"/>
    <w:uiPriority w:val="29"/>
    <w:rsid w:val="00050E3E"/>
    <w:rPr>
      <w:i/>
      <w:iCs/>
      <w:color w:val="404040" w:themeColor="text1" w:themeTint="BF"/>
    </w:rPr>
  </w:style>
  <w:style w:type="paragraph" w:styleId="ListParagraph">
    <w:name w:val="List Paragraph"/>
    <w:basedOn w:val="Normal"/>
    <w:uiPriority w:val="34"/>
    <w:qFormat/>
    <w:rsid w:val="00050E3E"/>
    <w:pPr>
      <w:ind w:left="720"/>
      <w:contextualSpacing/>
    </w:pPr>
  </w:style>
  <w:style w:type="character" w:styleId="IntenseEmphasis">
    <w:name w:val="Intense Emphasis"/>
    <w:basedOn w:val="DefaultParagraphFont"/>
    <w:uiPriority w:val="21"/>
    <w:qFormat/>
    <w:rsid w:val="00050E3E"/>
    <w:rPr>
      <w:i/>
      <w:iCs/>
      <w:color w:val="2F5496" w:themeColor="accent1" w:themeShade="BF"/>
    </w:rPr>
  </w:style>
  <w:style w:type="paragraph" w:styleId="IntenseQuote">
    <w:name w:val="Intense Quote"/>
    <w:basedOn w:val="Normal"/>
    <w:next w:val="Normal"/>
    <w:link w:val="IntenseQuoteChar"/>
    <w:uiPriority w:val="30"/>
    <w:qFormat/>
    <w:rsid w:val="00050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0E3E"/>
    <w:rPr>
      <w:i/>
      <w:iCs/>
      <w:color w:val="2F5496" w:themeColor="accent1" w:themeShade="BF"/>
    </w:rPr>
  </w:style>
  <w:style w:type="character" w:styleId="IntenseReference">
    <w:name w:val="Intense Reference"/>
    <w:basedOn w:val="DefaultParagraphFont"/>
    <w:uiPriority w:val="32"/>
    <w:qFormat/>
    <w:rsid w:val="00050E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Mills</dc:creator>
  <cp:keywords/>
  <dc:description/>
  <cp:lastModifiedBy>Jane Mills</cp:lastModifiedBy>
  <cp:revision>1</cp:revision>
  <dcterms:created xsi:type="dcterms:W3CDTF">2026-09-07T22:27:00Z</dcterms:created>
  <dcterms:modified xsi:type="dcterms:W3CDTF">2026-09-07T22:59:00Z</dcterms:modified>
</cp:coreProperties>
</file>